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5DE1" w14:textId="66034152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To: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2E1882">
        <w:rPr>
          <w:rFonts w:ascii="Times New Roman" w:eastAsia="Calibri" w:hAnsi="Times New Roman" w:cs="Times New Roman"/>
          <w:sz w:val="24"/>
          <w:szCs w:val="24"/>
        </w:rPr>
        <w:t>Kourtnee Jinks</w:t>
      </w:r>
      <w:r w:rsidR="00F448C6">
        <w:rPr>
          <w:rFonts w:ascii="Times New Roman" w:eastAsia="Calibri" w:hAnsi="Times New Roman" w:cs="Times New Roman"/>
          <w:sz w:val="24"/>
          <w:szCs w:val="24"/>
        </w:rPr>
        <w:t>,</w:t>
      </w:r>
      <w:r w:rsidRPr="00992DAF">
        <w:rPr>
          <w:rFonts w:ascii="Times New Roman" w:eastAsia="Calibri" w:hAnsi="Times New Roman" w:cs="Times New Roman"/>
          <w:sz w:val="24"/>
          <w:szCs w:val="24"/>
        </w:rPr>
        <w:t xml:space="preserve"> Legal Division</w:t>
      </w:r>
    </w:p>
    <w:p w14:paraId="19BA6C57" w14:textId="77777777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From: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>Adrian Narvaez, Tariff &amp; Rate Analysis, Rate Regulation Division</w:t>
      </w:r>
    </w:p>
    <w:p w14:paraId="1FDAF2CA" w14:textId="5CCEE0D4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Date: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E81A14">
        <w:rPr>
          <w:rFonts w:ascii="Times New Roman" w:eastAsia="Calibri" w:hAnsi="Times New Roman" w:cs="Times New Roman"/>
          <w:sz w:val="24"/>
          <w:szCs w:val="24"/>
        </w:rPr>
        <w:t>J</w:t>
      </w:r>
      <w:r w:rsidR="00F448C6">
        <w:rPr>
          <w:rFonts w:ascii="Times New Roman" w:eastAsia="Calibri" w:hAnsi="Times New Roman" w:cs="Times New Roman"/>
          <w:sz w:val="24"/>
          <w:szCs w:val="24"/>
        </w:rPr>
        <w:t xml:space="preserve">uly </w:t>
      </w:r>
      <w:r w:rsidR="00CA67AC">
        <w:rPr>
          <w:rFonts w:ascii="Times New Roman" w:eastAsia="Calibri" w:hAnsi="Times New Roman" w:cs="Times New Roman"/>
          <w:sz w:val="24"/>
          <w:szCs w:val="24"/>
        </w:rPr>
        <w:t>20</w:t>
      </w:r>
      <w:r w:rsidRPr="00992DAF">
        <w:rPr>
          <w:rFonts w:ascii="Times New Roman" w:eastAsia="Calibri" w:hAnsi="Times New Roman" w:cs="Times New Roman"/>
          <w:sz w:val="24"/>
          <w:szCs w:val="24"/>
        </w:rPr>
        <w:t>, 202</w:t>
      </w:r>
      <w:r w:rsidR="00542E7B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2DA0F72A" w14:textId="2A2AB85A" w:rsidR="00992DAF" w:rsidRPr="00992DAF" w:rsidRDefault="00992DAF" w:rsidP="00965C13">
      <w:pPr>
        <w:spacing w:after="200" w:line="276" w:lineRule="auto"/>
        <w:ind w:left="1440" w:hanging="14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Re: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Docket No. </w:t>
      </w:r>
      <w:r w:rsidR="00F448C6" w:rsidRPr="00F448C6">
        <w:rPr>
          <w:rFonts w:ascii="Times New Roman" w:eastAsia="Calibri" w:hAnsi="Times New Roman" w:cs="Times New Roman"/>
          <w:b/>
          <w:sz w:val="24"/>
          <w:szCs w:val="24"/>
        </w:rPr>
        <w:t>5362</w:t>
      </w:r>
      <w:r w:rsidR="00CA67A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F448C6" w:rsidRPr="00F448C6">
        <w:rPr>
          <w:rFonts w:ascii="Times New Roman" w:eastAsia="Calibri" w:hAnsi="Times New Roman" w:cs="Times New Roman"/>
          <w:b/>
          <w:sz w:val="24"/>
          <w:szCs w:val="24"/>
        </w:rPr>
        <w:t xml:space="preserve"> –</w:t>
      </w:r>
      <w:r w:rsidR="00452A7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bookmarkStart w:id="0" w:name="_Hlk108792727"/>
      <w:r w:rsidR="008A28F4">
        <w:rPr>
          <w:rFonts w:ascii="Times New Roman" w:eastAsia="Calibri" w:hAnsi="Times New Roman" w:cs="Times New Roman"/>
          <w:i/>
          <w:sz w:val="24"/>
          <w:szCs w:val="24"/>
        </w:rPr>
        <w:t xml:space="preserve">Application of </w:t>
      </w:r>
      <w:r w:rsidR="00965C13" w:rsidRPr="00965C13">
        <w:rPr>
          <w:rFonts w:ascii="Times New Roman" w:eastAsia="Calibri" w:hAnsi="Times New Roman" w:cs="Times New Roman"/>
          <w:i/>
          <w:sz w:val="24"/>
          <w:szCs w:val="24"/>
        </w:rPr>
        <w:t>East Texas Electric Cooperative, Inc.</w:t>
      </w:r>
      <w:r w:rsidR="00F448C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bookmarkEnd w:id="0"/>
      <w:r w:rsidR="00965C13">
        <w:rPr>
          <w:rFonts w:ascii="Times New Roman" w:eastAsia="Calibri" w:hAnsi="Times New Roman" w:cs="Times New Roman"/>
          <w:i/>
          <w:sz w:val="24"/>
          <w:szCs w:val="24"/>
        </w:rPr>
        <w:t>to</w:t>
      </w:r>
      <w:r w:rsidR="00F448C6">
        <w:rPr>
          <w:rFonts w:ascii="Times New Roman" w:eastAsia="Calibri" w:hAnsi="Times New Roman" w:cs="Times New Roman"/>
          <w:i/>
          <w:sz w:val="24"/>
          <w:szCs w:val="24"/>
        </w:rPr>
        <w:t xml:space="preserve"> Update its Wholesale Transmission</w:t>
      </w:r>
      <w:r w:rsidR="008A28F4">
        <w:rPr>
          <w:rFonts w:ascii="Times New Roman" w:eastAsia="Calibri" w:hAnsi="Times New Roman" w:cs="Times New Roman"/>
          <w:i/>
          <w:sz w:val="24"/>
          <w:szCs w:val="24"/>
        </w:rPr>
        <w:t xml:space="preserve"> Service Tariff</w:t>
      </w:r>
      <w:r w:rsidR="00F448C6">
        <w:rPr>
          <w:rFonts w:ascii="Times New Roman" w:eastAsia="Calibri" w:hAnsi="Times New Roman" w:cs="Times New Roman"/>
          <w:i/>
          <w:sz w:val="24"/>
          <w:szCs w:val="24"/>
        </w:rPr>
        <w:t xml:space="preserve"> Credit Rider</w:t>
      </w:r>
    </w:p>
    <w:p w14:paraId="1336E08D" w14:textId="77777777" w:rsidR="00992DAF" w:rsidRPr="00992DAF" w:rsidRDefault="00992DAF" w:rsidP="00992DA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14:paraId="1A4FADB0" w14:textId="2DDF4BD4" w:rsidR="00F222EB" w:rsidRDefault="00282815" w:rsidP="00C165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="00F448C6">
        <w:rPr>
          <w:rFonts w:ascii="Times New Roman" w:eastAsia="Calibri" w:hAnsi="Times New Roman" w:cs="Times New Roman"/>
          <w:sz w:val="24"/>
          <w:szCs w:val="24"/>
        </w:rPr>
        <w:t xml:space="preserve">May </w:t>
      </w:r>
      <w:r w:rsidR="00CA67AC">
        <w:rPr>
          <w:rFonts w:ascii="Times New Roman" w:eastAsia="Calibri" w:hAnsi="Times New Roman" w:cs="Times New Roman"/>
          <w:sz w:val="24"/>
          <w:szCs w:val="24"/>
        </w:rPr>
        <w:t>18</w:t>
      </w:r>
      <w:r w:rsidR="00F222EB" w:rsidRPr="00F222EB">
        <w:rPr>
          <w:rFonts w:ascii="Times New Roman" w:eastAsia="Calibri" w:hAnsi="Times New Roman" w:cs="Times New Roman"/>
          <w:sz w:val="24"/>
          <w:szCs w:val="24"/>
        </w:rPr>
        <w:t>, 20</w:t>
      </w:r>
      <w:r w:rsidR="00F222EB">
        <w:rPr>
          <w:rFonts w:ascii="Times New Roman" w:eastAsia="Calibri" w:hAnsi="Times New Roman" w:cs="Times New Roman"/>
          <w:sz w:val="24"/>
          <w:szCs w:val="24"/>
        </w:rPr>
        <w:t>2</w:t>
      </w:r>
      <w:r w:rsidR="00F63939">
        <w:rPr>
          <w:rFonts w:ascii="Times New Roman" w:eastAsia="Calibri" w:hAnsi="Times New Roman" w:cs="Times New Roman"/>
          <w:sz w:val="24"/>
          <w:szCs w:val="24"/>
        </w:rPr>
        <w:t>2</w:t>
      </w:r>
      <w:r w:rsidR="00F222EB" w:rsidRPr="00F222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A67AC" w:rsidRPr="00CA67AC">
        <w:rPr>
          <w:rFonts w:ascii="Times New Roman" w:eastAsia="Calibri" w:hAnsi="Times New Roman" w:cs="Times New Roman"/>
          <w:sz w:val="24"/>
          <w:szCs w:val="24"/>
        </w:rPr>
        <w:t>East Texas Electric Cooperative, Inc. (ETEC)</w:t>
      </w:r>
      <w:r w:rsidR="00F222EB" w:rsidRPr="00F222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67AC">
        <w:rPr>
          <w:rFonts w:ascii="Times New Roman" w:eastAsia="Calibri" w:hAnsi="Times New Roman" w:cs="Times New Roman"/>
          <w:sz w:val="24"/>
          <w:szCs w:val="24"/>
        </w:rPr>
        <w:t>filed an application to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 amend its wholesale transmission service (WTS) </w:t>
      </w:r>
      <w:r w:rsidR="00CA67AC">
        <w:rPr>
          <w:rFonts w:ascii="Times New Roman" w:eastAsia="Calibri" w:hAnsi="Times New Roman" w:cs="Times New Roman"/>
          <w:sz w:val="24"/>
          <w:szCs w:val="24"/>
        </w:rPr>
        <w:t>C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redit </w:t>
      </w:r>
      <w:r w:rsidR="00CA67AC">
        <w:rPr>
          <w:rFonts w:ascii="Times New Roman" w:eastAsia="Calibri" w:hAnsi="Times New Roman" w:cs="Times New Roman"/>
          <w:sz w:val="24"/>
          <w:szCs w:val="24"/>
        </w:rPr>
        <w:t>R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>ider in accordance with Docket No</w:t>
      </w:r>
      <w:r w:rsidR="00CA67AC">
        <w:rPr>
          <w:rFonts w:ascii="Times New Roman" w:eastAsia="Calibri" w:hAnsi="Times New Roman" w:cs="Times New Roman"/>
          <w:sz w:val="24"/>
          <w:szCs w:val="24"/>
        </w:rPr>
        <w:t>s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>.</w:t>
      </w:r>
      <w:r w:rsidR="00F44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>4</w:t>
      </w:r>
      <w:r w:rsidR="00CA67AC">
        <w:rPr>
          <w:rFonts w:ascii="Times New Roman" w:eastAsia="Calibri" w:hAnsi="Times New Roman" w:cs="Times New Roman"/>
          <w:sz w:val="24"/>
          <w:szCs w:val="24"/>
        </w:rPr>
        <w:t>7898 and 50295</w:t>
      </w:r>
      <w:r w:rsidR="00F448C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The Order </w:t>
      </w:r>
      <w:r w:rsidR="00CA67AC">
        <w:rPr>
          <w:rFonts w:ascii="Times New Roman" w:eastAsia="Calibri" w:hAnsi="Times New Roman" w:cs="Times New Roman"/>
          <w:sz w:val="24"/>
          <w:szCs w:val="24"/>
        </w:rPr>
        <w:t xml:space="preserve">in Docket No. 47898 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requires </w:t>
      </w:r>
      <w:r w:rsidR="00CA67AC">
        <w:rPr>
          <w:rFonts w:ascii="Times New Roman" w:eastAsia="Calibri" w:hAnsi="Times New Roman" w:cs="Times New Roman"/>
          <w:sz w:val="24"/>
          <w:szCs w:val="24"/>
        </w:rPr>
        <w:t>ETEC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 to credit $</w:t>
      </w:r>
      <w:r w:rsidR="00CA67AC">
        <w:rPr>
          <w:rFonts w:ascii="Times New Roman" w:eastAsia="Calibri" w:hAnsi="Times New Roman" w:cs="Times New Roman"/>
          <w:sz w:val="24"/>
          <w:szCs w:val="24"/>
        </w:rPr>
        <w:t>1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 million a year for five years to ERCOT</w:t>
      </w:r>
      <w:r w:rsidR="00F44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>WTS customers</w:t>
      </w:r>
      <w:r w:rsidR="00CA67AC">
        <w:rPr>
          <w:rFonts w:ascii="Times New Roman" w:eastAsia="Calibri" w:hAnsi="Times New Roman" w:cs="Times New Roman"/>
          <w:sz w:val="24"/>
          <w:szCs w:val="24"/>
        </w:rPr>
        <w:t>.</w:t>
      </w:r>
      <w:r w:rsidR="00C16579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1"/>
      </w:r>
      <w:r w:rsidR="00CA67AC" w:rsidRPr="00CA67AC">
        <w:rPr>
          <w:rStyle w:val="FootnoteReference"/>
          <w:rFonts w:ascii="Times New Roman" w:eastAsia="Calibri" w:hAnsi="Times New Roman" w:cs="Times New Roman"/>
          <w:sz w:val="24"/>
          <w:szCs w:val="24"/>
        </w:rPr>
        <w:t xml:space="preserve"> </w:t>
      </w:r>
      <w:r w:rsidR="00CA67AC">
        <w:rPr>
          <w:rFonts w:ascii="Times New Roman" w:eastAsia="Calibri" w:hAnsi="Times New Roman" w:cs="Times New Roman"/>
          <w:sz w:val="24"/>
          <w:szCs w:val="24"/>
        </w:rPr>
        <w:t>The O</w:t>
      </w:r>
      <w:r w:rsidR="002E1882">
        <w:rPr>
          <w:rFonts w:ascii="Times New Roman" w:eastAsia="Calibri" w:hAnsi="Times New Roman" w:cs="Times New Roman"/>
          <w:sz w:val="24"/>
          <w:szCs w:val="24"/>
        </w:rPr>
        <w:t>r</w:t>
      </w:r>
      <w:r w:rsidR="00CA67AC">
        <w:rPr>
          <w:rFonts w:ascii="Times New Roman" w:eastAsia="Calibri" w:hAnsi="Times New Roman" w:cs="Times New Roman"/>
          <w:sz w:val="24"/>
          <w:szCs w:val="24"/>
        </w:rPr>
        <w:t>der in Docket No. 50295</w:t>
      </w:r>
      <w:r w:rsidR="00F448C6" w:rsidRPr="00F448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6579">
        <w:rPr>
          <w:rFonts w:ascii="Times New Roman" w:eastAsia="Calibri" w:hAnsi="Times New Roman" w:cs="Times New Roman"/>
          <w:sz w:val="24"/>
          <w:szCs w:val="24"/>
        </w:rPr>
        <w:t>requires ETEC to</w:t>
      </w:r>
      <w:r w:rsidR="00C16579" w:rsidRPr="00C16579">
        <w:rPr>
          <w:rFonts w:ascii="Times New Roman" w:eastAsia="Calibri" w:hAnsi="Times New Roman" w:cs="Times New Roman"/>
          <w:sz w:val="24"/>
          <w:szCs w:val="24"/>
        </w:rPr>
        <w:t xml:space="preserve"> annually, or more frequently as needed, update its </w:t>
      </w:r>
      <w:r w:rsidR="00C16579">
        <w:rPr>
          <w:rFonts w:ascii="Times New Roman" w:eastAsia="Calibri" w:hAnsi="Times New Roman" w:cs="Times New Roman"/>
          <w:sz w:val="24"/>
          <w:szCs w:val="24"/>
        </w:rPr>
        <w:t>WTS</w:t>
      </w:r>
      <w:r w:rsidR="00C16579" w:rsidRPr="00C165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6579">
        <w:rPr>
          <w:rFonts w:ascii="Times New Roman" w:eastAsia="Calibri" w:hAnsi="Times New Roman" w:cs="Times New Roman"/>
          <w:sz w:val="24"/>
          <w:szCs w:val="24"/>
        </w:rPr>
        <w:t>Credit Rider</w:t>
      </w:r>
      <w:r w:rsidR="00C16579" w:rsidRPr="00C16579">
        <w:rPr>
          <w:rFonts w:ascii="Times New Roman" w:eastAsia="Calibri" w:hAnsi="Times New Roman" w:cs="Times New Roman"/>
          <w:sz w:val="24"/>
          <w:szCs w:val="24"/>
        </w:rPr>
        <w:t xml:space="preserve"> to incorporate any changes to the ERCOT 4CP billing units</w:t>
      </w:r>
      <w:r w:rsidR="005978EA" w:rsidRPr="005978EA">
        <w:rPr>
          <w:rFonts w:ascii="Times New Roman" w:eastAsia="Calibri" w:hAnsi="Times New Roman" w:cs="Times New Roman"/>
          <w:sz w:val="24"/>
          <w:szCs w:val="24"/>
        </w:rPr>
        <w:t>.</w:t>
      </w:r>
      <w:r w:rsidR="005978EA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2"/>
      </w:r>
    </w:p>
    <w:p w14:paraId="7A65A769" w14:textId="67ECD6ED" w:rsidR="00354392" w:rsidRDefault="00354392" w:rsidP="005978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7A10DD" w14:textId="73C0E2FE" w:rsidR="00F57DA4" w:rsidRPr="00FD271E" w:rsidRDefault="00333625" w:rsidP="006B44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625">
        <w:rPr>
          <w:rFonts w:ascii="Times New Roman" w:eastAsia="Calibri" w:hAnsi="Times New Roman" w:cs="Times New Roman"/>
          <w:sz w:val="24"/>
          <w:szCs w:val="24"/>
        </w:rPr>
        <w:t xml:space="preserve">I have reviewed </w:t>
      </w:r>
      <w:r w:rsidR="00C16579">
        <w:rPr>
          <w:rFonts w:ascii="Times New Roman" w:eastAsia="Calibri" w:hAnsi="Times New Roman" w:cs="Times New Roman"/>
          <w:sz w:val="24"/>
          <w:szCs w:val="24"/>
        </w:rPr>
        <w:t>ETEC’s</w:t>
      </w:r>
      <w:r w:rsidRPr="003336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proposed </w:t>
      </w:r>
      <w:r w:rsidR="00C16579">
        <w:rPr>
          <w:rFonts w:ascii="Times New Roman" w:eastAsia="Calibri" w:hAnsi="Times New Roman" w:cs="Times New Roman"/>
          <w:sz w:val="24"/>
          <w:szCs w:val="24"/>
        </w:rPr>
        <w:t>updated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6579">
        <w:rPr>
          <w:rFonts w:ascii="Times New Roman" w:eastAsia="Calibri" w:hAnsi="Times New Roman" w:cs="Times New Roman"/>
          <w:sz w:val="24"/>
          <w:szCs w:val="24"/>
        </w:rPr>
        <w:t xml:space="preserve">annual </w:t>
      </w:r>
      <w:r>
        <w:rPr>
          <w:rFonts w:ascii="Times New Roman" w:eastAsia="Calibri" w:hAnsi="Times New Roman" w:cs="Times New Roman"/>
          <w:sz w:val="24"/>
          <w:szCs w:val="24"/>
        </w:rPr>
        <w:t xml:space="preserve">WTS </w:t>
      </w:r>
      <w:r w:rsidR="00C16579"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>redit rate of $0.0</w:t>
      </w:r>
      <w:r w:rsidR="00C16579">
        <w:rPr>
          <w:rFonts w:ascii="Times New Roman" w:eastAsia="Calibri" w:hAnsi="Times New Roman" w:cs="Times New Roman"/>
          <w:sz w:val="24"/>
          <w:szCs w:val="24"/>
        </w:rPr>
        <w:t>13706</w:t>
      </w:r>
      <w:r>
        <w:rPr>
          <w:rFonts w:ascii="Times New Roman" w:eastAsia="Calibri" w:hAnsi="Times New Roman" w:cs="Times New Roman"/>
          <w:sz w:val="24"/>
          <w:szCs w:val="24"/>
        </w:rPr>
        <w:t xml:space="preserve"> per kW, which is calculated by dividing the $</w:t>
      </w:r>
      <w:r w:rsidR="00C16579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million amount</w:t>
      </w:r>
      <w:r w:rsidR="00ED1FE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less amounts </w:t>
      </w:r>
      <w:r w:rsidR="00C16579">
        <w:rPr>
          <w:rFonts w:ascii="Times New Roman" w:eastAsia="Calibri" w:hAnsi="Times New Roman" w:cs="Times New Roman"/>
          <w:sz w:val="24"/>
          <w:szCs w:val="24"/>
        </w:rPr>
        <w:t>overpaid in the previous period</w:t>
      </w:r>
      <w:r w:rsidR="00ED1FE5">
        <w:rPr>
          <w:rFonts w:ascii="Times New Roman" w:eastAsia="Calibri" w:hAnsi="Times New Roman" w:cs="Times New Roman"/>
          <w:sz w:val="24"/>
          <w:szCs w:val="24"/>
        </w:rPr>
        <w:t>, by the</w:t>
      </w:r>
      <w:r w:rsidR="00ED1FE5" w:rsidRPr="00ED1FE5">
        <w:t xml:space="preserve"> </w:t>
      </w:r>
      <w:r w:rsidR="00ED1FE5" w:rsidRPr="00ED1FE5">
        <w:rPr>
          <w:rFonts w:ascii="Times New Roman" w:eastAsia="Calibri" w:hAnsi="Times New Roman" w:cs="Times New Roman"/>
          <w:sz w:val="24"/>
          <w:szCs w:val="24"/>
        </w:rPr>
        <w:t>2021 ERCOT Average 4-CP load of 72,490,325</w:t>
      </w:r>
      <w:r w:rsidR="00C16579">
        <w:rPr>
          <w:rFonts w:ascii="Times New Roman" w:eastAsia="Calibri" w:hAnsi="Times New Roman" w:cs="Times New Roman"/>
          <w:sz w:val="24"/>
          <w:szCs w:val="24"/>
        </w:rPr>
        <w:t>.25</w:t>
      </w:r>
      <w:r w:rsidR="00ED1FE5" w:rsidRPr="00ED1FE5">
        <w:rPr>
          <w:rFonts w:ascii="Times New Roman" w:eastAsia="Calibri" w:hAnsi="Times New Roman" w:cs="Times New Roman"/>
          <w:sz w:val="24"/>
          <w:szCs w:val="24"/>
        </w:rPr>
        <w:t xml:space="preserve"> kW.</w:t>
      </w:r>
      <w:r w:rsidR="006B447D">
        <w:rPr>
          <w:rStyle w:val="FootnoteReference"/>
          <w:rFonts w:ascii="Times New Roman" w:eastAsia="Calibri" w:hAnsi="Times New Roman" w:cs="Times New Roman"/>
          <w:sz w:val="24"/>
          <w:szCs w:val="24"/>
        </w:rPr>
        <w:footnoteReference w:id="3"/>
      </w:r>
      <w:r w:rsidR="00ED1F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1FE5" w:rsidRPr="00ED1FE5">
        <w:rPr>
          <w:rFonts w:ascii="Times New Roman" w:eastAsia="Calibri" w:hAnsi="Times New Roman" w:cs="Times New Roman"/>
          <w:sz w:val="24"/>
          <w:szCs w:val="24"/>
        </w:rPr>
        <w:t xml:space="preserve">I conclude that the above WTS </w:t>
      </w:r>
      <w:r w:rsidR="00ED1FE5">
        <w:rPr>
          <w:rFonts w:ascii="Times New Roman" w:eastAsia="Calibri" w:hAnsi="Times New Roman" w:cs="Times New Roman"/>
          <w:sz w:val="24"/>
          <w:szCs w:val="24"/>
        </w:rPr>
        <w:t>c</w:t>
      </w:r>
      <w:r w:rsidR="00ED1FE5" w:rsidRPr="00ED1FE5">
        <w:rPr>
          <w:rFonts w:ascii="Times New Roman" w:eastAsia="Calibri" w:hAnsi="Times New Roman" w:cs="Times New Roman"/>
          <w:sz w:val="24"/>
          <w:szCs w:val="24"/>
        </w:rPr>
        <w:t xml:space="preserve">redit rate is calculated correctly and should be </w:t>
      </w:r>
      <w:r w:rsidR="00ED1FE5" w:rsidRPr="006B447D">
        <w:rPr>
          <w:rFonts w:ascii="Times New Roman" w:eastAsia="Calibri" w:hAnsi="Times New Roman" w:cs="Times New Roman"/>
          <w:b/>
          <w:bCs/>
          <w:sz w:val="24"/>
          <w:szCs w:val="24"/>
        </w:rPr>
        <w:t>approved</w:t>
      </w:r>
      <w:r w:rsidR="00ED1FE5" w:rsidRPr="00ED1FE5">
        <w:rPr>
          <w:rFonts w:ascii="Times New Roman" w:eastAsia="Calibri" w:hAnsi="Times New Roman" w:cs="Times New Roman"/>
          <w:sz w:val="24"/>
          <w:szCs w:val="24"/>
        </w:rPr>
        <w:t>.</w:t>
      </w:r>
      <w:r w:rsidR="006B4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 xml:space="preserve">I also recommend that </w:t>
      </w:r>
      <w:r w:rsidR="00C16579">
        <w:rPr>
          <w:rFonts w:ascii="Times New Roman" w:eastAsia="Calibri" w:hAnsi="Times New Roman" w:cs="Times New Roman"/>
          <w:sz w:val="24"/>
          <w:szCs w:val="24"/>
        </w:rPr>
        <w:t>ETEC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 xml:space="preserve"> be required to file a "clean" copy of</w:t>
      </w:r>
      <w:r w:rsidR="006B44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>the approved tariff,</w:t>
      </w:r>
      <w:r w:rsidR="006B447D">
        <w:rPr>
          <w:rFonts w:ascii="Times New Roman" w:eastAsia="Calibri" w:hAnsi="Times New Roman" w:cs="Times New Roman"/>
          <w:sz w:val="24"/>
          <w:szCs w:val="24"/>
        </w:rPr>
        <w:t xml:space="preserve"> t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 xml:space="preserve">o be stamped </w:t>
      </w:r>
      <w:r w:rsidR="006B447D">
        <w:rPr>
          <w:rFonts w:ascii="Times New Roman" w:eastAsia="Calibri" w:hAnsi="Times New Roman" w:cs="Times New Roman"/>
          <w:sz w:val="24"/>
          <w:szCs w:val="24"/>
        </w:rPr>
        <w:t>“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>approved</w:t>
      </w:r>
      <w:r w:rsidR="006B447D">
        <w:rPr>
          <w:rFonts w:ascii="Times New Roman" w:eastAsia="Calibri" w:hAnsi="Times New Roman" w:cs="Times New Roman"/>
          <w:sz w:val="24"/>
          <w:szCs w:val="24"/>
        </w:rPr>
        <w:t>”</w:t>
      </w:r>
      <w:r w:rsidR="006B447D" w:rsidRPr="006B447D">
        <w:rPr>
          <w:rFonts w:ascii="Times New Roman" w:eastAsia="Calibri" w:hAnsi="Times New Roman" w:cs="Times New Roman"/>
          <w:sz w:val="24"/>
          <w:szCs w:val="24"/>
        </w:rPr>
        <w:t xml:space="preserve"> by the Commission' s Central Records Division and retained for future reference.</w:t>
      </w:r>
      <w:r w:rsidR="00116F1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F57DA4" w:rsidRPr="00FD271E" w:rsidSect="00E97EC4">
      <w:headerReference w:type="default" r:id="rId8"/>
      <w:headerReference w:type="first" r:id="rId9"/>
      <w:pgSz w:w="12240" w:h="15840"/>
      <w:pgMar w:top="1440" w:right="1440" w:bottom="144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114B" w14:textId="77777777" w:rsidR="00880E60" w:rsidRDefault="00880E60" w:rsidP="00992DAF">
      <w:pPr>
        <w:spacing w:after="0" w:line="240" w:lineRule="auto"/>
      </w:pPr>
      <w:r>
        <w:separator/>
      </w:r>
    </w:p>
  </w:endnote>
  <w:endnote w:type="continuationSeparator" w:id="0">
    <w:p w14:paraId="24110362" w14:textId="77777777" w:rsidR="00880E60" w:rsidRDefault="00880E60" w:rsidP="0099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A85D2" w14:textId="77777777" w:rsidR="00880E60" w:rsidRDefault="00880E60" w:rsidP="00992DAF">
      <w:pPr>
        <w:spacing w:after="0" w:line="240" w:lineRule="auto"/>
      </w:pPr>
      <w:r>
        <w:separator/>
      </w:r>
    </w:p>
  </w:footnote>
  <w:footnote w:type="continuationSeparator" w:id="0">
    <w:p w14:paraId="7F3E3BF3" w14:textId="77777777" w:rsidR="00880E60" w:rsidRDefault="00880E60" w:rsidP="00992DAF">
      <w:pPr>
        <w:spacing w:after="0" w:line="240" w:lineRule="auto"/>
      </w:pPr>
      <w:r>
        <w:continuationSeparator/>
      </w:r>
    </w:p>
  </w:footnote>
  <w:footnote w:id="1">
    <w:p w14:paraId="0AFA4881" w14:textId="377F8DE3" w:rsidR="00C16579" w:rsidRPr="008A28F4" w:rsidRDefault="00C16579" w:rsidP="008A28F4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8A28F4">
        <w:rPr>
          <w:rStyle w:val="FootnoteReference"/>
          <w:rFonts w:ascii="Times New Roman" w:hAnsi="Times New Roman" w:cs="Times New Roman"/>
        </w:rPr>
        <w:footnoteRef/>
      </w:r>
      <w:r w:rsidRPr="008A28F4">
        <w:rPr>
          <w:rFonts w:ascii="Times New Roman" w:hAnsi="Times New Roman" w:cs="Times New Roman"/>
        </w:rPr>
        <w:t xml:space="preserve">  </w:t>
      </w:r>
      <w:r w:rsidR="00FE5419" w:rsidRPr="008A28F4">
        <w:rPr>
          <w:rFonts w:ascii="Times New Roman" w:hAnsi="Times New Roman" w:cs="Times New Roman"/>
          <w:i/>
          <w:iCs/>
        </w:rPr>
        <w:t xml:space="preserve">Petition of East Texas Electric Cooperative, Inc. for Authority to Transfer 35 Megawatts of Load into the Electric Reliability Council of Texas, </w:t>
      </w:r>
      <w:r w:rsidR="00672DB8" w:rsidRPr="008A28F4">
        <w:rPr>
          <w:rFonts w:ascii="Times New Roman" w:hAnsi="Times New Roman" w:cs="Times New Roman"/>
        </w:rPr>
        <w:t xml:space="preserve">Docket No. 47898, Ordering Paragraph No. 6 </w:t>
      </w:r>
      <w:r w:rsidR="00FE5419" w:rsidRPr="008A28F4">
        <w:rPr>
          <w:rFonts w:ascii="Times New Roman" w:hAnsi="Times New Roman" w:cs="Times New Roman"/>
        </w:rPr>
        <w:t>(Sept. 3, 1019).</w:t>
      </w:r>
    </w:p>
  </w:footnote>
  <w:footnote w:id="2">
    <w:p w14:paraId="4BAB5A54" w14:textId="1296F51C" w:rsidR="005978EA" w:rsidRPr="008A28F4" w:rsidRDefault="005978EA" w:rsidP="008A28F4">
      <w:pPr>
        <w:pStyle w:val="FootnoteText"/>
        <w:spacing w:after="120"/>
        <w:ind w:firstLine="720"/>
        <w:jc w:val="both"/>
        <w:rPr>
          <w:rFonts w:ascii="Times New Roman" w:hAnsi="Times New Roman" w:cs="Times New Roman"/>
          <w:i/>
          <w:iCs/>
        </w:rPr>
      </w:pPr>
      <w:r w:rsidRPr="008A28F4">
        <w:rPr>
          <w:rStyle w:val="FootnoteReference"/>
          <w:rFonts w:ascii="Times New Roman" w:hAnsi="Times New Roman" w:cs="Times New Roman"/>
        </w:rPr>
        <w:footnoteRef/>
      </w:r>
      <w:r w:rsidRPr="008A28F4">
        <w:rPr>
          <w:rFonts w:ascii="Times New Roman" w:hAnsi="Times New Roman" w:cs="Times New Roman"/>
        </w:rPr>
        <w:t xml:space="preserve"> </w:t>
      </w:r>
      <w:r w:rsidR="008A0AD1" w:rsidRPr="008A28F4">
        <w:rPr>
          <w:rFonts w:ascii="Times New Roman" w:hAnsi="Times New Roman" w:cs="Times New Roman"/>
        </w:rPr>
        <w:t xml:space="preserve"> </w:t>
      </w:r>
      <w:bookmarkStart w:id="1" w:name="_Hlk109203589"/>
      <w:r w:rsidR="00FF2300" w:rsidRPr="008A28F4">
        <w:rPr>
          <w:rFonts w:ascii="Times New Roman" w:hAnsi="Times New Roman" w:cs="Times New Roman"/>
          <w:i/>
          <w:iCs/>
        </w:rPr>
        <w:t>Application of East Texas Electric Cooperative, Inc. to Change Wholesale Transmission Service Rates</w:t>
      </w:r>
      <w:r w:rsidR="008A0AD1" w:rsidRPr="008A28F4">
        <w:rPr>
          <w:rFonts w:ascii="Times New Roman" w:hAnsi="Times New Roman" w:cs="Times New Roman"/>
          <w:i/>
          <w:iCs/>
        </w:rPr>
        <w:t xml:space="preserve">, </w:t>
      </w:r>
      <w:r w:rsidR="008A0AD1" w:rsidRPr="008A28F4">
        <w:rPr>
          <w:rFonts w:ascii="Times New Roman" w:hAnsi="Times New Roman" w:cs="Times New Roman"/>
        </w:rPr>
        <w:t>Docket No. 5</w:t>
      </w:r>
      <w:r w:rsidR="00FF2300" w:rsidRPr="008A28F4">
        <w:rPr>
          <w:rFonts w:ascii="Times New Roman" w:hAnsi="Times New Roman" w:cs="Times New Roman"/>
        </w:rPr>
        <w:t>0295</w:t>
      </w:r>
      <w:r w:rsidR="008A0AD1" w:rsidRPr="008A28F4">
        <w:rPr>
          <w:rFonts w:ascii="Times New Roman" w:hAnsi="Times New Roman" w:cs="Times New Roman"/>
        </w:rPr>
        <w:t xml:space="preserve">, Notice of Approval, Ordering Paragraph </w:t>
      </w:r>
      <w:r w:rsidR="00FF2300" w:rsidRPr="008A28F4">
        <w:rPr>
          <w:rFonts w:ascii="Times New Roman" w:hAnsi="Times New Roman" w:cs="Times New Roman"/>
        </w:rPr>
        <w:t>No. 6</w:t>
      </w:r>
      <w:r w:rsidR="008A0AD1" w:rsidRPr="008A28F4">
        <w:rPr>
          <w:rFonts w:ascii="Times New Roman" w:hAnsi="Times New Roman" w:cs="Times New Roman"/>
        </w:rPr>
        <w:t xml:space="preserve"> (</w:t>
      </w:r>
      <w:r w:rsidR="00FF2300" w:rsidRPr="008A28F4">
        <w:rPr>
          <w:rFonts w:ascii="Times New Roman" w:hAnsi="Times New Roman" w:cs="Times New Roman"/>
        </w:rPr>
        <w:t>Oct</w:t>
      </w:r>
      <w:r w:rsidR="008A0AD1" w:rsidRPr="008A28F4">
        <w:rPr>
          <w:rFonts w:ascii="Times New Roman" w:hAnsi="Times New Roman" w:cs="Times New Roman"/>
        </w:rPr>
        <w:t xml:space="preserve">. </w:t>
      </w:r>
      <w:r w:rsidR="00FF2300" w:rsidRPr="008A28F4">
        <w:rPr>
          <w:rFonts w:ascii="Times New Roman" w:hAnsi="Times New Roman" w:cs="Times New Roman"/>
        </w:rPr>
        <w:t>1</w:t>
      </w:r>
      <w:r w:rsidR="008A0AD1" w:rsidRPr="008A28F4">
        <w:rPr>
          <w:rFonts w:ascii="Times New Roman" w:hAnsi="Times New Roman" w:cs="Times New Roman"/>
        </w:rPr>
        <w:t>2, 202</w:t>
      </w:r>
      <w:r w:rsidR="00FF2300" w:rsidRPr="008A28F4">
        <w:rPr>
          <w:rFonts w:ascii="Times New Roman" w:hAnsi="Times New Roman" w:cs="Times New Roman"/>
        </w:rPr>
        <w:t>0</w:t>
      </w:r>
      <w:r w:rsidR="008A0AD1" w:rsidRPr="008A28F4">
        <w:rPr>
          <w:rFonts w:ascii="Times New Roman" w:hAnsi="Times New Roman" w:cs="Times New Roman"/>
        </w:rPr>
        <w:t>).</w:t>
      </w:r>
      <w:bookmarkEnd w:id="1"/>
    </w:p>
  </w:footnote>
  <w:footnote w:id="3">
    <w:p w14:paraId="4AD80A28" w14:textId="05604E68" w:rsidR="006B447D" w:rsidRDefault="006B447D" w:rsidP="001B0FAA">
      <w:pPr>
        <w:pStyle w:val="FootnoteText"/>
        <w:ind w:firstLine="720"/>
        <w:jc w:val="both"/>
      </w:pPr>
      <w:r w:rsidRPr="008A28F4">
        <w:rPr>
          <w:rStyle w:val="FootnoteReference"/>
          <w:rFonts w:ascii="Times New Roman" w:hAnsi="Times New Roman" w:cs="Times New Roman"/>
        </w:rPr>
        <w:footnoteRef/>
      </w:r>
      <w:r w:rsidRPr="008A28F4">
        <w:t xml:space="preserve">   </w:t>
      </w:r>
      <w:r w:rsidRPr="001B0FAA">
        <w:rPr>
          <w:rFonts w:ascii="Times New Roman" w:eastAsia="Calibri" w:hAnsi="Times New Roman" w:cs="Times New Roman"/>
          <w:i/>
        </w:rPr>
        <w:t xml:space="preserve">Commission Staff’s Application to Set 2022 Wholesale Transmission Service Charges for the Electric Reliability Council of Texas, </w:t>
      </w:r>
      <w:r w:rsidRPr="001B0FAA">
        <w:rPr>
          <w:rFonts w:ascii="Times New Roman" w:eastAsia="Calibri" w:hAnsi="Times New Roman" w:cs="Times New Roman"/>
        </w:rPr>
        <w:t>Docket No. 52989, Commission Staff`s Final Transmission Charge Matrix (Feb. 25,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53FF" w14:textId="77777777" w:rsidR="0000524C" w:rsidRDefault="008935C3" w:rsidP="00E97EC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63BC" w14:textId="77777777" w:rsidR="0000524C" w:rsidRPr="0000524C" w:rsidRDefault="00992DAF" w:rsidP="0000524C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DE90621" w14:textId="77777777" w:rsidR="0000524C" w:rsidRPr="0000524C" w:rsidRDefault="00992DAF" w:rsidP="0000524C">
    <w:pPr>
      <w:tabs>
        <w:tab w:val="left" w:pos="2160"/>
        <w:tab w:val="left" w:pos="729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0524C">
      <w:rPr>
        <w:rFonts w:ascii="Times New Roman" w:eastAsia="Times New Roman" w:hAnsi="Times New Roman" w:cs="Times New Roman"/>
        <w:b/>
        <w:sz w:val="12"/>
        <w:szCs w:val="20"/>
      </w:rPr>
      <w:tab/>
    </w:r>
    <w:r w:rsidRPr="0000524C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5F9CE9DE" w14:textId="77777777" w:rsidR="0000524C" w:rsidRDefault="00992DAF" w:rsidP="0000524C">
    <w:pPr>
      <w:pStyle w:val="Header"/>
      <w:jc w:val="center"/>
      <w:rPr>
        <w:rFonts w:ascii="Times New Roman" w:eastAsia="Times New Roman" w:hAnsi="Times New Roman" w:cs="Times New Roman"/>
        <w:b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21C4C73C" w14:textId="77777777" w:rsidR="0000524C" w:rsidRDefault="00893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0146D"/>
    <w:multiLevelType w:val="hybridMultilevel"/>
    <w:tmpl w:val="7624D7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AF"/>
    <w:rsid w:val="00116F16"/>
    <w:rsid w:val="001240BC"/>
    <w:rsid w:val="001B0FAA"/>
    <w:rsid w:val="001C089A"/>
    <w:rsid w:val="00217B92"/>
    <w:rsid w:val="0023211E"/>
    <w:rsid w:val="002565D4"/>
    <w:rsid w:val="0026338B"/>
    <w:rsid w:val="00282815"/>
    <w:rsid w:val="002E0764"/>
    <w:rsid w:val="002E1882"/>
    <w:rsid w:val="002E20DA"/>
    <w:rsid w:val="002F3A98"/>
    <w:rsid w:val="003043B1"/>
    <w:rsid w:val="00333625"/>
    <w:rsid w:val="00354392"/>
    <w:rsid w:val="0037422A"/>
    <w:rsid w:val="00397C6C"/>
    <w:rsid w:val="003B6E2E"/>
    <w:rsid w:val="003E035E"/>
    <w:rsid w:val="003E1DEF"/>
    <w:rsid w:val="00452A72"/>
    <w:rsid w:val="0045426C"/>
    <w:rsid w:val="004B2730"/>
    <w:rsid w:val="004B7BCA"/>
    <w:rsid w:val="004D59A4"/>
    <w:rsid w:val="004F438C"/>
    <w:rsid w:val="005254E9"/>
    <w:rsid w:val="005305A8"/>
    <w:rsid w:val="00542E7B"/>
    <w:rsid w:val="0057153D"/>
    <w:rsid w:val="00571690"/>
    <w:rsid w:val="005978EA"/>
    <w:rsid w:val="005C7097"/>
    <w:rsid w:val="0060332B"/>
    <w:rsid w:val="00641F32"/>
    <w:rsid w:val="00672DB8"/>
    <w:rsid w:val="00683A5E"/>
    <w:rsid w:val="00690E0A"/>
    <w:rsid w:val="006B447D"/>
    <w:rsid w:val="006E564D"/>
    <w:rsid w:val="007571D6"/>
    <w:rsid w:val="00784EFD"/>
    <w:rsid w:val="007C1FF9"/>
    <w:rsid w:val="0086796C"/>
    <w:rsid w:val="00880E60"/>
    <w:rsid w:val="008A0AD1"/>
    <w:rsid w:val="008A28F4"/>
    <w:rsid w:val="008B258A"/>
    <w:rsid w:val="00965C13"/>
    <w:rsid w:val="00992DAF"/>
    <w:rsid w:val="00997B60"/>
    <w:rsid w:val="00A5723F"/>
    <w:rsid w:val="00A91AEF"/>
    <w:rsid w:val="00AC4442"/>
    <w:rsid w:val="00B204FA"/>
    <w:rsid w:val="00BE7B58"/>
    <w:rsid w:val="00C16579"/>
    <w:rsid w:val="00C441C4"/>
    <w:rsid w:val="00C70C50"/>
    <w:rsid w:val="00CA67AC"/>
    <w:rsid w:val="00D71212"/>
    <w:rsid w:val="00D7137B"/>
    <w:rsid w:val="00D8788B"/>
    <w:rsid w:val="00E10ADB"/>
    <w:rsid w:val="00E64363"/>
    <w:rsid w:val="00E81A14"/>
    <w:rsid w:val="00ED1FE5"/>
    <w:rsid w:val="00F0648E"/>
    <w:rsid w:val="00F222EB"/>
    <w:rsid w:val="00F448C6"/>
    <w:rsid w:val="00F57DA4"/>
    <w:rsid w:val="00F63939"/>
    <w:rsid w:val="00FD271E"/>
    <w:rsid w:val="00FE5419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C4875"/>
  <w15:chartTrackingRefBased/>
  <w15:docId w15:val="{B528D069-13D4-4C7F-A499-FB5794B6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92D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2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2D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DAF"/>
  </w:style>
  <w:style w:type="paragraph" w:styleId="ListParagraph">
    <w:name w:val="List Paragraph"/>
    <w:basedOn w:val="Normal"/>
    <w:uiPriority w:val="34"/>
    <w:qFormat/>
    <w:rsid w:val="00E64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143D0-CEB5-44DB-8E8B-66736037F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Narvaez, Adrian</dc:creator>
  <cp:keywords/>
  <dc:description/>
  <cp:lastModifiedBy>Kourtnee Jinks</cp:lastModifiedBy>
  <cp:revision>3</cp:revision>
  <dcterms:created xsi:type="dcterms:W3CDTF">2022-07-20T19:41:00Z</dcterms:created>
  <dcterms:modified xsi:type="dcterms:W3CDTF">2022-07-20T19:41:00Z</dcterms:modified>
</cp:coreProperties>
</file>